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彩虹粗仿宋" w:hAnsi="宋体" w:eastAsia="彩虹粗仿宋"/>
          <w:sz w:val="32"/>
          <w:szCs w:val="32"/>
        </w:rPr>
      </w:pPr>
      <w:r>
        <w:rPr>
          <w:rFonts w:hint="eastAsia" w:ascii="彩虹小标宋" w:hAnsi="宋体" w:eastAsia="彩虹小标宋"/>
          <w:snapToGrid w:val="0"/>
          <w:kern w:val="0"/>
          <w:sz w:val="36"/>
          <w:szCs w:val="36"/>
        </w:rPr>
        <w:t>中国建设银行厦门市分行2027-2029年信息系统安全等级测评服务采购需求工作说明书</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一、技术服务目标</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对被测系统“建行厦门市分行一级分行骨干网络系统”、“厦门分行产品服务系统”、“厦门分行综合渠道系统”进行</w:t>
      </w:r>
      <w:r>
        <w:rPr>
          <w:rFonts w:hint="eastAsia" w:ascii="彩虹粗仿宋" w:hAnsi="宋体" w:eastAsia="彩虹粗仿宋"/>
          <w:sz w:val="32"/>
          <w:szCs w:val="32"/>
          <w:lang w:eastAsia="zh-CN"/>
        </w:rPr>
        <w:t>信息系统安全</w:t>
      </w:r>
      <w:r>
        <w:rPr>
          <w:rFonts w:hint="eastAsia" w:ascii="彩虹粗仿宋" w:hAnsi="宋体" w:eastAsia="彩虹粗仿宋"/>
          <w:sz w:val="32"/>
          <w:szCs w:val="32"/>
        </w:rPr>
        <w:t>等级</w:t>
      </w:r>
      <w:r>
        <w:rPr>
          <w:rFonts w:hint="eastAsia" w:ascii="彩虹粗仿宋" w:hAnsi="宋体" w:eastAsia="彩虹粗仿宋"/>
          <w:sz w:val="32"/>
          <w:szCs w:val="32"/>
          <w:lang w:eastAsia="zh-CN"/>
        </w:rPr>
        <w:t>测评</w:t>
      </w:r>
      <w:r>
        <w:rPr>
          <w:rFonts w:hint="eastAsia" w:ascii="彩虹粗仿宋" w:hAnsi="宋体" w:eastAsia="彩虹粗仿宋"/>
          <w:sz w:val="32"/>
          <w:szCs w:val="32"/>
        </w:rPr>
        <w:t>，使被测方了解被测系统与《</w:t>
      </w:r>
      <w:r>
        <w:rPr>
          <w:rFonts w:hint="eastAsia" w:ascii="彩虹粗仿宋" w:hAnsi="宋体" w:eastAsia="彩虹粗仿宋"/>
          <w:sz w:val="32"/>
          <w:szCs w:val="32"/>
          <w:lang w:eastAsia="zh-CN"/>
        </w:rPr>
        <w:t>金融行业网络安全等级保护测评指南</w:t>
      </w:r>
      <w:r>
        <w:rPr>
          <w:rFonts w:hint="eastAsia" w:ascii="彩虹粗仿宋" w:hAnsi="宋体" w:eastAsia="彩虹粗仿宋"/>
          <w:sz w:val="32"/>
          <w:szCs w:val="32"/>
        </w:rPr>
        <w:t>》之间的差距，明确被测系统整改方</w:t>
      </w:r>
      <w:r>
        <w:rPr>
          <w:rFonts w:hint="eastAsia" w:ascii="彩虹粗仿宋" w:hAnsi="宋体" w:eastAsia="彩虹粗仿宋"/>
          <w:sz w:val="32"/>
          <w:szCs w:val="32"/>
          <w:highlight w:val="none"/>
        </w:rPr>
        <w:t>法，协助我行完成问题整改，</w:t>
      </w:r>
      <w:r>
        <w:rPr>
          <w:rFonts w:hint="eastAsia" w:ascii="彩虹粗仿宋" w:hAnsi="宋体" w:eastAsia="彩虹粗仿宋"/>
          <w:sz w:val="32"/>
          <w:szCs w:val="32"/>
        </w:rPr>
        <w:t>出具测评报告</w:t>
      </w:r>
      <w:r>
        <w:rPr>
          <w:rFonts w:hint="eastAsia" w:ascii="彩虹粗仿宋" w:hAnsi="宋体" w:eastAsia="彩虹粗仿宋"/>
          <w:sz w:val="32"/>
          <w:szCs w:val="32"/>
          <w:lang w:eastAsia="zh-CN"/>
        </w:rPr>
        <w:t>并协助我行录入人行态势感知系统</w:t>
      </w:r>
      <w:r>
        <w:rPr>
          <w:rFonts w:hint="eastAsia" w:ascii="彩虹粗仿宋" w:hAnsi="宋体" w:eastAsia="彩虹粗仿宋"/>
          <w:sz w:val="32"/>
          <w:szCs w:val="32"/>
        </w:rPr>
        <w:t>。</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二、范围概述</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建行厦门市分行一级分行骨干网络系统：分行一级骨干网络是分行业务网络的关键和汇聚节点。</w:t>
      </w:r>
    </w:p>
    <w:p>
      <w:pPr>
        <w:adjustRightInd w:val="0"/>
        <w:snapToGrid w:val="0"/>
        <w:spacing w:line="360" w:lineRule="auto"/>
        <w:ind w:firstLine="640" w:firstLineChars="200"/>
        <w:rPr>
          <w:rFonts w:hint="eastAsia" w:ascii="彩虹粗仿宋" w:hAnsi="宋体" w:eastAsia="彩虹粗仿宋"/>
          <w:sz w:val="32"/>
          <w:szCs w:val="32"/>
          <w:lang w:eastAsia="zh-CN"/>
        </w:rPr>
      </w:pPr>
      <w:r>
        <w:rPr>
          <w:rFonts w:hint="eastAsia" w:ascii="彩虹粗仿宋" w:hAnsi="宋体" w:eastAsia="彩虹粗仿宋"/>
          <w:sz w:val="32"/>
          <w:szCs w:val="32"/>
        </w:rPr>
        <w:t>厦门分行产品服务系统：涉及账务交易和客户服务相关功能等厦门分行特色系统。</w:t>
      </w:r>
    </w:p>
    <w:p>
      <w:pPr>
        <w:adjustRightInd w:val="0"/>
        <w:snapToGrid w:val="0"/>
        <w:spacing w:line="360" w:lineRule="auto"/>
        <w:ind w:firstLine="640" w:firstLineChars="200"/>
        <w:rPr>
          <w:rFonts w:hint="eastAsia" w:ascii="彩虹粗仿宋" w:hAnsi="宋体" w:eastAsia="彩虹粗仿宋"/>
          <w:sz w:val="32"/>
          <w:szCs w:val="32"/>
        </w:rPr>
      </w:pPr>
      <w:r>
        <w:rPr>
          <w:rFonts w:hint="eastAsia" w:ascii="彩虹粗仿宋" w:hAnsi="宋体" w:eastAsia="彩虹粗仿宋"/>
          <w:sz w:val="32"/>
          <w:szCs w:val="32"/>
        </w:rPr>
        <w:t>厦门分行综合渠道系统：总行推广部署在分行的柜面、自助渠道等用于业务处理、数据管理等系统。</w:t>
      </w:r>
    </w:p>
    <w:p>
      <w:pPr>
        <w:numPr>
          <w:ilvl w:val="0"/>
          <w:numId w:val="1"/>
        </w:numPr>
        <w:adjustRightInd w:val="0"/>
        <w:snapToGrid w:val="0"/>
        <w:spacing w:line="360" w:lineRule="auto"/>
        <w:ind w:firstLine="640" w:firstLineChars="200"/>
        <w:rPr>
          <w:rFonts w:hint="eastAsia" w:ascii="彩虹粗仿宋" w:hAnsi="宋体" w:eastAsia="彩虹粗仿宋"/>
          <w:sz w:val="32"/>
          <w:szCs w:val="32"/>
        </w:rPr>
      </w:pPr>
      <w:r>
        <w:rPr>
          <w:rFonts w:hint="eastAsia" w:ascii="彩虹粗仿宋" w:hAnsi="宋体" w:eastAsia="彩虹粗仿宋"/>
          <w:sz w:val="32"/>
          <w:szCs w:val="32"/>
        </w:rPr>
        <w:t>采购需求</w:t>
      </w: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11"/>
        <w:gridCol w:w="1336"/>
        <w:gridCol w:w="1336"/>
        <w:gridCol w:w="1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47" w:type="pct"/>
            <w:vAlign w:val="center"/>
          </w:tcPr>
          <w:p>
            <w:pPr>
              <w:adjustRightInd w:val="0"/>
              <w:snapToGrid w:val="0"/>
              <w:spacing w:line="360" w:lineRule="auto"/>
              <w:jc w:val="center"/>
              <w:rPr>
                <w:rFonts w:hint="eastAsia" w:ascii="彩虹粗仿宋" w:hAnsi="彩虹粗仿宋" w:eastAsia="彩虹粗仿宋" w:cs="彩虹粗仿宋"/>
                <w:sz w:val="32"/>
                <w:szCs w:val="32"/>
                <w:vertAlign w:val="baseline"/>
                <w:lang w:eastAsia="zh-CN"/>
              </w:rPr>
            </w:pPr>
            <w:r>
              <w:rPr>
                <w:rFonts w:hint="eastAsia" w:ascii="彩虹粗仿宋" w:hAnsi="彩虹粗仿宋" w:eastAsia="彩虹粗仿宋" w:cs="彩虹粗仿宋"/>
                <w:sz w:val="32"/>
                <w:szCs w:val="32"/>
              </w:rPr>
              <w:t>测评系统</w:t>
            </w:r>
            <w:r>
              <w:rPr>
                <w:rFonts w:hint="eastAsia" w:ascii="彩虹粗仿宋" w:hAnsi="彩虹粗仿宋" w:eastAsia="彩虹粗仿宋" w:cs="彩虹粗仿宋"/>
                <w:sz w:val="32"/>
                <w:szCs w:val="32"/>
                <w:lang w:eastAsia="zh-CN"/>
              </w:rPr>
              <w:t>名称</w:t>
            </w: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32"/>
                <w:szCs w:val="32"/>
                <w:vertAlign w:val="baseline"/>
              </w:rPr>
            </w:pPr>
            <w:r>
              <w:rPr>
                <w:rFonts w:hint="eastAsia" w:ascii="彩虹粗仿宋" w:hAnsi="彩虹粗仿宋" w:eastAsia="彩虹粗仿宋" w:cs="彩虹粗仿宋"/>
                <w:sz w:val="32"/>
                <w:szCs w:val="32"/>
              </w:rPr>
              <w:t>2027年</w:t>
            </w: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32"/>
                <w:szCs w:val="32"/>
                <w:vertAlign w:val="baseline"/>
              </w:rPr>
            </w:pPr>
            <w:r>
              <w:rPr>
                <w:rFonts w:hint="eastAsia" w:ascii="彩虹粗仿宋" w:hAnsi="彩虹粗仿宋" w:eastAsia="彩虹粗仿宋" w:cs="彩虹粗仿宋"/>
                <w:sz w:val="32"/>
                <w:szCs w:val="32"/>
              </w:rPr>
              <w:t>2028年</w:t>
            </w: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32"/>
                <w:szCs w:val="32"/>
                <w:vertAlign w:val="baseline"/>
              </w:rPr>
            </w:pPr>
            <w:r>
              <w:rPr>
                <w:rFonts w:hint="eastAsia" w:ascii="彩虹粗仿宋" w:hAnsi="彩虹粗仿宋" w:eastAsia="彩虹粗仿宋" w:cs="彩虹粗仿宋"/>
                <w:sz w:val="32"/>
                <w:szCs w:val="32"/>
              </w:rPr>
              <w:t>2029年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47"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r>
              <w:rPr>
                <w:rFonts w:hint="eastAsia" w:ascii="彩虹粗仿宋" w:hAnsi="彩虹粗仿宋" w:eastAsia="彩虹粗仿宋" w:cs="彩虹粗仿宋"/>
                <w:sz w:val="24"/>
                <w:szCs w:val="24"/>
                <w:vertAlign w:val="baseline"/>
              </w:rPr>
              <w:t>建行厦门市分行一级分行骨干网络系统(第三级）</w:t>
            </w: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lang w:eastAsia="zh-CN"/>
              </w:rPr>
            </w:pPr>
            <w:r>
              <w:rPr>
                <w:rFonts w:hint="eastAsia" w:ascii="彩虹粗仿宋" w:hAnsi="彩虹粗仿宋" w:eastAsia="彩虹粗仿宋" w:cs="彩虹粗仿宋"/>
                <w:sz w:val="24"/>
                <w:szCs w:val="24"/>
                <w:vertAlign w:val="baseline"/>
                <w:lang w:eastAsia="zh-CN"/>
              </w:rPr>
              <w:t>复测</w:t>
            </w: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r>
              <w:rPr>
                <w:rFonts w:hint="eastAsia" w:ascii="彩虹粗仿宋" w:hAnsi="彩虹粗仿宋" w:eastAsia="彩虹粗仿宋" w:cs="彩虹粗仿宋"/>
                <w:sz w:val="24"/>
                <w:szCs w:val="24"/>
                <w:vertAlign w:val="baseline"/>
                <w:lang w:eastAsia="zh-CN"/>
              </w:rPr>
              <w:t>复测</w:t>
            </w: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r>
              <w:rPr>
                <w:rFonts w:hint="eastAsia" w:ascii="彩虹粗仿宋" w:hAnsi="彩虹粗仿宋" w:eastAsia="彩虹粗仿宋" w:cs="彩虹粗仿宋"/>
                <w:sz w:val="24"/>
                <w:szCs w:val="24"/>
                <w:vertAlign w:val="baseline"/>
                <w:lang w:eastAsia="zh-CN"/>
              </w:rPr>
              <w:t>复测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47"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r>
              <w:rPr>
                <w:rFonts w:hint="eastAsia" w:ascii="彩虹粗仿宋" w:hAnsi="彩虹粗仿宋" w:eastAsia="彩虹粗仿宋" w:cs="彩虹粗仿宋"/>
                <w:sz w:val="24"/>
                <w:szCs w:val="24"/>
                <w:vertAlign w:val="baseline"/>
              </w:rPr>
              <w:t>厦门分行产品服务系统（第二级）</w:t>
            </w: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r>
              <w:rPr>
                <w:rFonts w:hint="eastAsia" w:ascii="彩虹粗仿宋" w:hAnsi="彩虹粗仿宋" w:eastAsia="彩虹粗仿宋" w:cs="彩虹粗仿宋"/>
                <w:sz w:val="24"/>
                <w:szCs w:val="24"/>
                <w:vertAlign w:val="baseline"/>
                <w:lang w:eastAsia="zh-CN"/>
              </w:rPr>
              <w:t>复测</w:t>
            </w: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647"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r>
              <w:rPr>
                <w:rFonts w:hint="eastAsia" w:ascii="彩虹粗仿宋" w:hAnsi="彩虹粗仿宋" w:eastAsia="彩虹粗仿宋" w:cs="彩虹粗仿宋"/>
                <w:sz w:val="24"/>
                <w:szCs w:val="24"/>
                <w:vertAlign w:val="baseline"/>
              </w:rPr>
              <w:t>厦门分行综合渠道系统（第二级）</w:t>
            </w: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r>
              <w:rPr>
                <w:rFonts w:hint="eastAsia" w:ascii="彩虹粗仿宋" w:hAnsi="彩虹粗仿宋" w:eastAsia="彩虹粗仿宋" w:cs="彩虹粗仿宋"/>
                <w:sz w:val="24"/>
                <w:szCs w:val="24"/>
                <w:vertAlign w:val="baseline"/>
                <w:lang w:eastAsia="zh-CN"/>
              </w:rPr>
              <w:t>复测</w:t>
            </w:r>
          </w:p>
        </w:tc>
        <w:tc>
          <w:tcPr>
            <w:tcW w:w="784" w:type="pct"/>
            <w:vAlign w:val="center"/>
          </w:tcPr>
          <w:p>
            <w:pPr>
              <w:adjustRightInd w:val="0"/>
              <w:snapToGrid w:val="0"/>
              <w:spacing w:line="360" w:lineRule="auto"/>
              <w:jc w:val="center"/>
              <w:rPr>
                <w:rFonts w:hint="eastAsia" w:ascii="彩虹粗仿宋" w:hAnsi="彩虹粗仿宋" w:eastAsia="彩虹粗仿宋" w:cs="彩虹粗仿宋"/>
                <w:sz w:val="24"/>
                <w:szCs w:val="24"/>
                <w:vertAlign w:val="baseline"/>
              </w:rPr>
            </w:pPr>
          </w:p>
        </w:tc>
      </w:tr>
    </w:tbl>
    <w:p>
      <w:pPr>
        <w:adjustRightInd w:val="0"/>
        <w:snapToGrid w:val="0"/>
        <w:spacing w:line="360" w:lineRule="auto"/>
        <w:ind w:firstLine="640" w:firstLineChars="200"/>
        <w:rPr>
          <w:rFonts w:hint="eastAsia" w:ascii="彩虹粗仿宋" w:hAnsi="宋体" w:eastAsia="彩虹粗仿宋"/>
          <w:sz w:val="32"/>
          <w:szCs w:val="32"/>
        </w:rPr>
      </w:pP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四、技术服务方式</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采取现场测评、</w:t>
      </w:r>
      <w:r>
        <w:rPr>
          <w:rFonts w:hint="eastAsia" w:ascii="彩虹粗仿宋" w:hAnsi="宋体" w:eastAsia="彩虹粗仿宋"/>
          <w:sz w:val="32"/>
          <w:szCs w:val="32"/>
          <w:lang w:eastAsia="zh-CN"/>
        </w:rPr>
        <w:t>现场渗透、漏扫等</w:t>
      </w:r>
      <w:r>
        <w:rPr>
          <w:rFonts w:hint="eastAsia" w:ascii="彩虹粗仿宋" w:hAnsi="宋体" w:eastAsia="彩虹粗仿宋"/>
          <w:sz w:val="32"/>
          <w:szCs w:val="32"/>
        </w:rPr>
        <w:t>方式进行，单个系统从测评数据采集结束到给出报告，一般不超过</w:t>
      </w:r>
      <w:r>
        <w:rPr>
          <w:rFonts w:ascii="彩虹粗仿宋" w:hAnsi="宋体" w:eastAsia="彩虹粗仿宋"/>
          <w:sz w:val="32"/>
          <w:szCs w:val="32"/>
        </w:rPr>
        <w:t>30</w:t>
      </w:r>
      <w:r>
        <w:rPr>
          <w:rFonts w:hint="eastAsia" w:ascii="彩虹粗仿宋" w:hAnsi="宋体" w:eastAsia="彩虹粗仿宋"/>
          <w:sz w:val="32"/>
          <w:szCs w:val="32"/>
        </w:rPr>
        <w:t>个工作日（不包括材料提供时间），每年报告提交时间不晚于1</w:t>
      </w:r>
      <w:r>
        <w:rPr>
          <w:rFonts w:ascii="彩虹粗仿宋" w:hAnsi="宋体" w:eastAsia="彩虹粗仿宋"/>
          <w:sz w:val="32"/>
          <w:szCs w:val="32"/>
        </w:rPr>
        <w:t>0</w:t>
      </w:r>
      <w:r>
        <w:rPr>
          <w:rFonts w:hint="eastAsia" w:ascii="彩虹粗仿宋" w:hAnsi="宋体" w:eastAsia="彩虹粗仿宋"/>
          <w:sz w:val="32"/>
          <w:szCs w:val="32"/>
        </w:rPr>
        <w:t>月3</w:t>
      </w:r>
      <w:r>
        <w:rPr>
          <w:rFonts w:ascii="彩虹粗仿宋" w:hAnsi="宋体" w:eastAsia="彩虹粗仿宋"/>
          <w:sz w:val="32"/>
          <w:szCs w:val="32"/>
        </w:rPr>
        <w:t>1</w:t>
      </w:r>
      <w:r>
        <w:rPr>
          <w:rFonts w:hint="eastAsia" w:ascii="彩虹粗仿宋" w:hAnsi="宋体" w:eastAsia="彩虹粗仿宋"/>
          <w:sz w:val="32"/>
          <w:szCs w:val="32"/>
        </w:rPr>
        <w:t>日。</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五、项目组织</w:t>
      </w:r>
    </w:p>
    <w:p>
      <w:pPr>
        <w:adjustRightInd w:val="0"/>
        <w:snapToGrid w:val="0"/>
        <w:spacing w:line="360" w:lineRule="auto"/>
        <w:ind w:firstLine="640" w:firstLineChars="200"/>
        <w:rPr>
          <w:rFonts w:hint="eastAsia" w:ascii="彩虹粗仿宋" w:hAnsi="宋体" w:eastAsia="彩虹粗仿宋"/>
          <w:sz w:val="32"/>
          <w:szCs w:val="32"/>
          <w:lang w:eastAsia="zh-CN"/>
        </w:rPr>
      </w:pPr>
      <w:r>
        <w:rPr>
          <w:rFonts w:hint="eastAsia" w:ascii="彩虹粗仿宋" w:hAnsi="宋体" w:eastAsia="彩虹粗仿宋"/>
          <w:sz w:val="32"/>
          <w:szCs w:val="32"/>
        </w:rPr>
        <w:t>项目过程中单个系统测评师人数不应少于4名，其中需配备高级测评师1名、中级及以上测评组长1名。</w:t>
      </w:r>
      <w:r>
        <w:rPr>
          <w:rFonts w:hint="eastAsia" w:ascii="彩虹粗仿宋" w:hAnsi="宋体" w:eastAsia="彩虹粗仿宋"/>
          <w:sz w:val="32"/>
          <w:szCs w:val="32"/>
          <w:lang w:eastAsia="zh-CN"/>
        </w:rPr>
        <w:t>现场</w:t>
      </w:r>
      <w:r>
        <w:rPr>
          <w:rFonts w:hint="eastAsia" w:ascii="彩虹粗仿宋" w:hAnsi="宋体" w:eastAsia="彩虹粗仿宋"/>
          <w:sz w:val="32"/>
          <w:szCs w:val="32"/>
        </w:rPr>
        <w:t>测评</w:t>
      </w:r>
      <w:r>
        <w:rPr>
          <w:rFonts w:hint="eastAsia" w:ascii="彩虹粗仿宋" w:hAnsi="宋体" w:eastAsia="彩虹粗仿宋"/>
          <w:sz w:val="32"/>
          <w:szCs w:val="32"/>
          <w:lang w:eastAsia="zh-CN"/>
        </w:rPr>
        <w:t>需留存有</w:t>
      </w:r>
      <w:r>
        <w:rPr>
          <w:rFonts w:hint="eastAsia" w:ascii="彩虹粗仿宋" w:hAnsi="宋体" w:eastAsia="彩虹粗仿宋"/>
          <w:sz w:val="32"/>
          <w:szCs w:val="32"/>
        </w:rPr>
        <w:t>项目组长在内的现场测评证明材料，如现场签到记录、现场会议照片、启动会等会议纪要等。</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六、技术服务质量</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1、供应商严格依据《中华人民共和国网络安全法》 、 《信息安全技术 网络安全等级保护基本要求》</w:t>
      </w:r>
      <w:r>
        <w:rPr>
          <w:rFonts w:hint="eastAsia" w:ascii="彩虹粗仿宋" w:hAnsi="宋体" w:eastAsia="彩虹粗仿宋"/>
          <w:sz w:val="32"/>
          <w:szCs w:val="32"/>
          <w:lang w:eastAsia="zh-CN"/>
        </w:rPr>
        <w:t>（</w:t>
      </w:r>
      <w:r>
        <w:rPr>
          <w:rFonts w:hint="eastAsia" w:ascii="彩虹粗仿宋" w:hAnsi="宋体" w:eastAsia="彩虹粗仿宋"/>
          <w:sz w:val="32"/>
          <w:szCs w:val="32"/>
        </w:rPr>
        <w:t>GB/T 22239—2019</w:t>
      </w:r>
      <w:r>
        <w:rPr>
          <w:rFonts w:hint="eastAsia" w:ascii="彩虹粗仿宋" w:hAnsi="宋体" w:eastAsia="彩虹粗仿宋"/>
          <w:sz w:val="32"/>
          <w:szCs w:val="32"/>
          <w:lang w:eastAsia="zh-CN"/>
        </w:rPr>
        <w:t>）、《金融行业网络安全等级保护测评指南》（JR/T 0072—2020）等要求</w:t>
      </w:r>
      <w:r>
        <w:rPr>
          <w:rFonts w:hint="eastAsia" w:ascii="彩虹粗仿宋" w:hAnsi="宋体" w:eastAsia="彩虹粗仿宋"/>
          <w:sz w:val="32"/>
          <w:szCs w:val="32"/>
        </w:rPr>
        <w:t>开展系统测评工作并出具信息安全等级保护测评报告。</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2、对于该测评准则中不适用的测评项目（如人为设置故障，可能会影响系统的正常运行或导致数据的丢失），测评人员可不予以测评，而由本单位确保该类项目符合安全等级规定的要求。</w:t>
      </w:r>
    </w:p>
    <w:p>
      <w:pPr>
        <w:adjustRightInd w:val="0"/>
        <w:snapToGrid w:val="0"/>
        <w:spacing w:line="360" w:lineRule="auto"/>
        <w:ind w:firstLine="640" w:firstLineChars="200"/>
        <w:rPr>
          <w:rFonts w:hint="eastAsia" w:ascii="彩虹粗仿宋" w:hAnsi="宋体" w:eastAsia="彩虹粗仿宋"/>
          <w:sz w:val="32"/>
          <w:szCs w:val="32"/>
        </w:rPr>
      </w:pPr>
      <w:r>
        <w:rPr>
          <w:rFonts w:hint="eastAsia" w:ascii="彩虹粗仿宋" w:hAnsi="宋体" w:eastAsia="彩虹粗仿宋"/>
          <w:sz w:val="32"/>
          <w:szCs w:val="32"/>
        </w:rPr>
        <w:t>3、测评人员在现场测评时，应遵守被测单位的相关工作纪律。</w:t>
      </w:r>
    </w:p>
    <w:p>
      <w:pPr>
        <w:adjustRightInd w:val="0"/>
        <w:snapToGrid w:val="0"/>
        <w:spacing w:line="360" w:lineRule="auto"/>
        <w:ind w:firstLine="640" w:firstLineChars="200"/>
        <w:rPr>
          <w:rFonts w:hint="eastAsia" w:ascii="彩虹粗仿宋" w:hAnsi="宋体" w:eastAsia="彩虹粗仿宋"/>
          <w:sz w:val="32"/>
          <w:szCs w:val="32"/>
          <w:lang w:val="en-US" w:eastAsia="zh-CN"/>
        </w:rPr>
      </w:pPr>
      <w:r>
        <w:rPr>
          <w:rFonts w:hint="eastAsia" w:ascii="彩虹粗仿宋" w:hAnsi="宋体" w:eastAsia="彩虹粗仿宋"/>
          <w:sz w:val="32"/>
          <w:szCs w:val="32"/>
          <w:lang w:val="en-US" w:eastAsia="zh-CN"/>
        </w:rPr>
        <w:t>4、测评后需明确被测系统整改方法，协助我行完成问题整改，出具测评报告并协助我行录入人行态势感知系统。</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七、测评报告说明</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1、出具的测评报告只针对被测系统现有的网络环境和信息系统，不涉及该系统结构或功能等要素发生变化后的情况。</w:t>
      </w:r>
    </w:p>
    <w:p>
      <w:pPr>
        <w:adjustRightInd w:val="0"/>
        <w:snapToGrid w:val="0"/>
        <w:spacing w:line="360" w:lineRule="auto"/>
        <w:ind w:firstLine="640" w:firstLineChars="200"/>
        <w:rPr>
          <w:rFonts w:ascii="彩虹粗仿宋" w:hAnsi="宋体" w:eastAsia="彩虹粗仿宋"/>
          <w:sz w:val="32"/>
          <w:szCs w:val="32"/>
        </w:rPr>
      </w:pPr>
      <w:r>
        <w:rPr>
          <w:rFonts w:ascii="彩虹粗仿宋" w:hAnsi="宋体" w:eastAsia="彩虹粗仿宋"/>
          <w:sz w:val="32"/>
          <w:szCs w:val="32"/>
        </w:rPr>
        <w:t>2</w:t>
      </w:r>
      <w:r>
        <w:rPr>
          <w:rFonts w:hint="eastAsia" w:ascii="彩虹粗仿宋" w:hAnsi="宋体" w:eastAsia="彩虹粗仿宋"/>
          <w:sz w:val="32"/>
          <w:szCs w:val="32"/>
        </w:rPr>
        <w:t>、对于测评过程中不适用的测评项目，测评报告中无法做出符合性判断的，需由被测单位确保该类项目符合安全等级规定的要求。</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八、付款方式</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lang w:val="en-US" w:eastAsia="zh-CN"/>
        </w:rPr>
        <w:t>以邀请函为准</w:t>
      </w:r>
      <w:r>
        <w:rPr>
          <w:rFonts w:hint="eastAsia" w:ascii="彩虹粗仿宋" w:hAnsi="宋体" w:eastAsia="彩虹粗仿宋"/>
          <w:sz w:val="32"/>
          <w:szCs w:val="32"/>
        </w:rPr>
        <w:t>。</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九、双方协作事项</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1、双方本着友好、合作的原则、保质保量地完成测评工作。</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2、在整个测评过程中，需要相关领导和技术人员密切配合，被测方提供必要</w:t>
      </w:r>
      <w:bookmarkStart w:id="0" w:name="_GoBack"/>
      <w:bookmarkEnd w:id="0"/>
      <w:r>
        <w:rPr>
          <w:rFonts w:hint="eastAsia" w:ascii="彩虹粗仿宋" w:hAnsi="宋体" w:eastAsia="彩虹粗仿宋"/>
          <w:sz w:val="32"/>
          <w:szCs w:val="32"/>
        </w:rPr>
        <w:t>的技术资料，并保证真实有效。</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3、测评负责联系人应保证能随时取得联系并负责行政和技术方面的总协调和总调度。</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4、测评的数据采集工作完成后，项目联系人需亲自或指派贵单位专人与我方一起，就相关技术数据进行核对，确认无误后，在打印版本签字，证明以上情况属实，我方同意据此出具等级测评报告以及风险评估报告。</w:t>
      </w:r>
    </w:p>
    <w:p>
      <w:pPr>
        <w:adjustRightInd w:val="0"/>
        <w:snapToGrid w:val="0"/>
        <w:spacing w:line="360" w:lineRule="auto"/>
        <w:ind w:firstLine="640" w:firstLineChars="200"/>
        <w:rPr>
          <w:rFonts w:ascii="彩虹粗仿宋" w:hAnsi="宋体" w:eastAsia="彩虹粗仿宋"/>
          <w:sz w:val="32"/>
          <w:szCs w:val="32"/>
        </w:rPr>
      </w:pPr>
      <w:r>
        <w:rPr>
          <w:rFonts w:hint="eastAsia" w:ascii="彩虹粗仿宋" w:hAnsi="宋体" w:eastAsia="彩虹粗仿宋"/>
          <w:sz w:val="32"/>
          <w:szCs w:val="32"/>
        </w:rPr>
        <w:t>5、双方知悉本次测评项目资料的人员应履行保密义务。</w:t>
      </w:r>
    </w:p>
    <w:p>
      <w:pPr>
        <w:adjustRightInd w:val="0"/>
        <w:snapToGrid w:val="0"/>
        <w:spacing w:line="360" w:lineRule="auto"/>
        <w:ind w:firstLine="640" w:firstLineChars="200"/>
        <w:rPr>
          <w:rFonts w:ascii="彩虹粗仿宋" w:hAnsi="宋体" w:eastAsia="彩虹粗仿宋"/>
          <w:sz w:val="32"/>
          <w:szCs w:val="32"/>
        </w:rPr>
      </w:pPr>
      <w:r>
        <w:rPr>
          <w:rFonts w:ascii="彩虹粗仿宋" w:hAnsi="宋体" w:eastAsia="彩虹粗仿宋"/>
          <w:sz w:val="32"/>
          <w:szCs w:val="32"/>
        </w:rPr>
        <w:t>6</w:t>
      </w:r>
      <w:r>
        <w:rPr>
          <w:rFonts w:hint="eastAsia" w:ascii="彩虹粗仿宋" w:hAnsi="宋体" w:eastAsia="彩虹粗仿宋"/>
          <w:sz w:val="32"/>
          <w:szCs w:val="32"/>
        </w:rPr>
        <w:t>、双方需指定项目联系人，及时跟踪测评工作的进展情况。</w:t>
      </w:r>
    </w:p>
    <w:p>
      <w:pPr>
        <w:adjustRightInd w:val="0"/>
        <w:snapToGrid w:val="0"/>
        <w:spacing w:line="360" w:lineRule="auto"/>
        <w:ind w:firstLine="640" w:firstLineChars="200"/>
        <w:rPr>
          <w:rFonts w:hint="eastAsia" w:ascii="彩虹粗仿宋" w:hAnsi="宋体" w:eastAsia="彩虹粗仿宋"/>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彩虹粗仿宋">
    <w:panose1 w:val="03000509000000000000"/>
    <w:charset w:val="86"/>
    <w:family w:val="script"/>
    <w:pitch w:val="default"/>
    <w:sig w:usb0="00000001" w:usb1="080E0000" w:usb2="00000000" w:usb3="00000000" w:csb0="00040000" w:csb1="00000000"/>
  </w:font>
  <w:font w:name="彩虹小标宋">
    <w:panose1 w:val="03000509000000000000"/>
    <w:charset w:val="86"/>
    <w:family w:val="script"/>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EC233F"/>
    <w:multiLevelType w:val="singleLevel"/>
    <w:tmpl w:val="D7EC233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characterSpacingControl w:val="doNotCompress"/>
  <w:compat>
    <w:useFELayout/>
    <w:compatSetting w:name="compatibilityMode" w:uri="http://schemas.microsoft.com/office/word" w:val="12"/>
  </w:compat>
  <w:rsids>
    <w:rsidRoot w:val="00B50571"/>
    <w:rsid w:val="0001244D"/>
    <w:rsid w:val="0002226F"/>
    <w:rsid w:val="000278DC"/>
    <w:rsid w:val="000B60B8"/>
    <w:rsid w:val="001274A7"/>
    <w:rsid w:val="0017701C"/>
    <w:rsid w:val="001D4158"/>
    <w:rsid w:val="002804D0"/>
    <w:rsid w:val="002A4482"/>
    <w:rsid w:val="00303F6D"/>
    <w:rsid w:val="00322196"/>
    <w:rsid w:val="00325249"/>
    <w:rsid w:val="0034632A"/>
    <w:rsid w:val="003B1939"/>
    <w:rsid w:val="00412B2B"/>
    <w:rsid w:val="00517582"/>
    <w:rsid w:val="005605CC"/>
    <w:rsid w:val="005A1956"/>
    <w:rsid w:val="00657418"/>
    <w:rsid w:val="00730FF4"/>
    <w:rsid w:val="009C6B9F"/>
    <w:rsid w:val="009D7340"/>
    <w:rsid w:val="00A20A62"/>
    <w:rsid w:val="00A42F06"/>
    <w:rsid w:val="00A74B2D"/>
    <w:rsid w:val="00AE182F"/>
    <w:rsid w:val="00B1327E"/>
    <w:rsid w:val="00B50571"/>
    <w:rsid w:val="00B5297F"/>
    <w:rsid w:val="00BA45AA"/>
    <w:rsid w:val="00C377C2"/>
    <w:rsid w:val="00C45BD3"/>
    <w:rsid w:val="00C675C3"/>
    <w:rsid w:val="00CA5B2B"/>
    <w:rsid w:val="00CF633D"/>
    <w:rsid w:val="00D14958"/>
    <w:rsid w:val="00DB1BDF"/>
    <w:rsid w:val="00DF0113"/>
    <w:rsid w:val="00F34CB1"/>
    <w:rsid w:val="00FA1DA0"/>
    <w:rsid w:val="00FF59C9"/>
    <w:rsid w:val="26DCA0B6"/>
    <w:rsid w:val="3F9E2AB4"/>
    <w:rsid w:val="3FFF641E"/>
    <w:rsid w:val="5B226326"/>
    <w:rsid w:val="73BF8D51"/>
    <w:rsid w:val="757F3045"/>
    <w:rsid w:val="7C7EEA7C"/>
    <w:rsid w:val="7E7D48E6"/>
    <w:rsid w:val="7FFFEDD7"/>
    <w:rsid w:val="F7FF3484"/>
    <w:rsid w:val="FAFE2F34"/>
    <w:rsid w:val="FE771EC4"/>
    <w:rsid w:val="FF90966E"/>
    <w:rsid w:val="FFCF94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Pages>
  <Words>201</Words>
  <Characters>1147</Characters>
  <Lines>9</Lines>
  <Paragraphs>2</Paragraphs>
  <TotalTime>15</TotalTime>
  <ScaleCrop>false</ScaleCrop>
  <LinksUpToDate>false</LinksUpToDate>
  <CharactersWithSpaces>1346</CharactersWithSpaces>
  <Application>WPS Office_12.8.2.15209_F1E327BC-269C-435d-A152-05C5408002CA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2019-10-30T09:55:00Z</dcterms:created>
  <dc:creator>Apache POI</dc:creator>
  <cp:lastModifiedBy>Administrator</cp:lastModifiedBy>
  <dcterms:modified xsi:type="dcterms:W3CDTF">2026-10-08T08:48:26Z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2052-12.8.2.15209</vt:lpwstr>
  </property>
  <property fmtid="{D5CDD505-2E9C-101B-9397-08002B2CF9AE}" pid="3" name="ICV">
    <vt:lpwstr>25D7C8E1A03BF05A6969BC6AAD2C1B79_42</vt:lpwstr>
  </property>
</Properties>
</file>